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10D" w14:textId="77777777" w:rsidR="009D73B8" w:rsidRPr="00136773" w:rsidRDefault="009D73B8" w:rsidP="009D73B8">
      <w:pPr>
        <w:bidi/>
        <w:spacing w:line="276" w:lineRule="auto"/>
        <w:jc w:val="center"/>
        <w:rPr>
          <w:rFonts w:cs="Guttman Frnew"/>
          <w:b/>
          <w:bCs/>
          <w:sz w:val="32"/>
          <w:szCs w:val="32"/>
          <w:rtl/>
        </w:rPr>
      </w:pPr>
      <w:r>
        <w:rPr>
          <w:rFonts w:cs="Guttman Frnew" w:hint="cs"/>
          <w:b/>
          <w:bCs/>
          <w:sz w:val="32"/>
          <w:szCs w:val="32"/>
          <w:rtl/>
        </w:rPr>
        <w:t xml:space="preserve">מושג </w:t>
      </w:r>
      <w:r w:rsidRPr="00136773">
        <w:rPr>
          <w:rFonts w:cs="Guttman Frnew" w:hint="cs"/>
          <w:b/>
          <w:bCs/>
          <w:sz w:val="32"/>
          <w:szCs w:val="32"/>
          <w:rtl/>
        </w:rPr>
        <w:t>האמת</w:t>
      </w:r>
    </w:p>
    <w:p w14:paraId="4DE98B8B" w14:textId="77777777" w:rsidR="009D73B8" w:rsidRDefault="009D73B8" w:rsidP="009D73B8">
      <w:pPr>
        <w:bidi/>
        <w:spacing w:line="276" w:lineRule="auto"/>
        <w:jc w:val="both"/>
        <w:rPr>
          <w:rFonts w:cs="Guttman Frnew"/>
          <w:sz w:val="28"/>
          <w:szCs w:val="28"/>
          <w:rtl/>
        </w:rPr>
      </w:pPr>
      <w:r>
        <w:rPr>
          <w:rFonts w:cs="Guttman Frnew" w:hint="cs"/>
          <w:sz w:val="28"/>
          <w:szCs w:val="28"/>
          <w:rtl/>
        </w:rPr>
        <w:t xml:space="preserve">הלימוד </w:t>
      </w:r>
      <w:r w:rsidRPr="00136773">
        <w:rPr>
          <w:rFonts w:cs="Guttman Frnew" w:hint="cs"/>
          <w:sz w:val="28"/>
          <w:szCs w:val="28"/>
          <w:rtl/>
        </w:rPr>
        <w:t>מבוס על שיעוריו של מניטו כחלק מסמינר על נושא זה</w:t>
      </w:r>
      <w:r>
        <w:rPr>
          <w:rFonts w:cs="Guttman Frnew" w:hint="cs"/>
          <w:sz w:val="28"/>
          <w:szCs w:val="28"/>
          <w:rtl/>
        </w:rPr>
        <w:t xml:space="preserve"> בשנת 1980</w:t>
      </w:r>
      <w:r w:rsidRPr="00136773">
        <w:rPr>
          <w:rFonts w:cs="Guttman Frnew" w:hint="cs"/>
          <w:sz w:val="28"/>
          <w:szCs w:val="28"/>
          <w:rtl/>
        </w:rPr>
        <w:t>, בעיקר ע"פ הפרק השני של נתיב התורה למהר"ל מפראג.</w:t>
      </w:r>
    </w:p>
    <w:p w14:paraId="139B3C06" w14:textId="77777777" w:rsidR="009D73B8" w:rsidRDefault="009D73B8" w:rsidP="009D73B8">
      <w:pPr>
        <w:bidi/>
        <w:spacing w:line="276" w:lineRule="auto"/>
        <w:jc w:val="both"/>
        <w:rPr>
          <w:rFonts w:cs="Guttman Frnew"/>
          <w:sz w:val="28"/>
          <w:szCs w:val="28"/>
          <w:rtl/>
        </w:rPr>
      </w:pPr>
      <w:r>
        <w:rPr>
          <w:rFonts w:cs="Guttman Frnew" w:hint="cs"/>
          <w:sz w:val="28"/>
          <w:szCs w:val="28"/>
          <w:rtl/>
        </w:rPr>
        <w:t xml:space="preserve">ברקע הלימוד: אין אמת אלא תורה </w:t>
      </w:r>
      <w:r w:rsidRPr="005C039E">
        <w:rPr>
          <w:rStyle w:val="Char0"/>
          <w:rFonts w:hint="cs"/>
          <w:rtl/>
        </w:rPr>
        <w:t>(</w:t>
      </w:r>
      <w:r w:rsidRPr="005C039E">
        <w:rPr>
          <w:rStyle w:val="Char0"/>
          <w:rtl/>
        </w:rPr>
        <w:t>ירושלמי ר"ה ג, ח)</w:t>
      </w:r>
      <w:r w:rsidRPr="005C039E">
        <w:rPr>
          <w:rStyle w:val="Char0"/>
          <w:rFonts w:hint="cs"/>
          <w:sz w:val="28"/>
          <w:szCs w:val="28"/>
          <w:rtl/>
        </w:rPr>
        <w:t>. וגם</w:t>
      </w:r>
      <w:r>
        <w:rPr>
          <w:rStyle w:val="Char0"/>
          <w:rFonts w:hint="cs"/>
          <w:sz w:val="28"/>
          <w:szCs w:val="28"/>
          <w:rtl/>
        </w:rPr>
        <w:t xml:space="preserve"> </w:t>
      </w:r>
      <w:r w:rsidRPr="005C039E">
        <w:rPr>
          <w:rStyle w:val="Char0"/>
          <w:rFonts w:hint="cs"/>
          <w:rtl/>
        </w:rPr>
        <w:t>(</w:t>
      </w:r>
      <w:r w:rsidRPr="005C039E">
        <w:rPr>
          <w:rStyle w:val="Char0"/>
          <w:rtl/>
        </w:rPr>
        <w:t>משלי יא</w:t>
      </w:r>
      <w:r w:rsidRPr="005C039E">
        <w:rPr>
          <w:rStyle w:val="Char0"/>
          <w:rFonts w:hint="cs"/>
          <w:rtl/>
        </w:rPr>
        <w:t>,</w:t>
      </w:r>
      <w:r w:rsidRPr="005C039E">
        <w:rPr>
          <w:rStyle w:val="Char0"/>
          <w:rtl/>
        </w:rPr>
        <w:t xml:space="preserve"> ב)</w:t>
      </w:r>
      <w:r>
        <w:rPr>
          <w:rStyle w:val="Char0"/>
          <w:rFonts w:hint="cs"/>
          <w:rtl/>
        </w:rPr>
        <w:t xml:space="preserve"> </w:t>
      </w:r>
      <w:r w:rsidRPr="005C039E">
        <w:rPr>
          <w:rFonts w:cs="Guttman Frnew"/>
          <w:sz w:val="28"/>
          <w:szCs w:val="28"/>
          <w:rtl/>
        </w:rPr>
        <w:t>אֶת צְנוּעִים חָכְמָה:</w:t>
      </w:r>
      <w:r>
        <w:rPr>
          <w:rFonts w:cs="Guttman Frnew" w:hint="cs"/>
          <w:sz w:val="28"/>
          <w:szCs w:val="28"/>
          <w:rtl/>
        </w:rPr>
        <w:t xml:space="preserve"> </w:t>
      </w:r>
    </w:p>
    <w:p w14:paraId="455A7491" w14:textId="77777777" w:rsidR="009D73B8" w:rsidRDefault="009D73B8" w:rsidP="009D73B8">
      <w:pPr>
        <w:bidi/>
        <w:spacing w:after="0" w:line="276" w:lineRule="auto"/>
        <w:jc w:val="both"/>
        <w:rPr>
          <w:rFonts w:cs="Guttman Frnew"/>
          <w:sz w:val="28"/>
          <w:szCs w:val="28"/>
          <w:rtl/>
        </w:rPr>
      </w:pPr>
      <w:r>
        <w:rPr>
          <w:rFonts w:cs="Guttman Frnew" w:hint="cs"/>
          <w:sz w:val="28"/>
          <w:szCs w:val="28"/>
          <w:rtl/>
        </w:rPr>
        <w:t xml:space="preserve">הקדמה כללית </w:t>
      </w:r>
      <w:r>
        <w:rPr>
          <w:rFonts w:cs="Guttman Frnew"/>
          <w:sz w:val="28"/>
          <w:szCs w:val="28"/>
          <w:rtl/>
        </w:rPr>
        <w:t>–</w:t>
      </w:r>
      <w:r>
        <w:rPr>
          <w:rFonts w:cs="Guttman Frnew" w:hint="cs"/>
          <w:sz w:val="28"/>
          <w:szCs w:val="28"/>
          <w:rtl/>
        </w:rPr>
        <w:t xml:space="preserve"> אמת נבואית ואמת פילוסופית</w:t>
      </w:r>
    </w:p>
    <w:p w14:paraId="3A36B5F8" w14:textId="77777777" w:rsidR="009D73B8" w:rsidRDefault="009D73B8" w:rsidP="009D73B8">
      <w:pPr>
        <w:bidi/>
        <w:spacing w:after="0" w:line="276" w:lineRule="auto"/>
        <w:jc w:val="both"/>
        <w:rPr>
          <w:rFonts w:cs="Guttman Frnew"/>
          <w:b/>
          <w:bCs/>
          <w:sz w:val="28"/>
          <w:szCs w:val="28"/>
          <w:rtl/>
        </w:rPr>
      </w:pPr>
      <w:r>
        <w:rPr>
          <w:rFonts w:cs="Guttman Frnew" w:hint="cs"/>
          <w:b/>
          <w:bCs/>
          <w:sz w:val="28"/>
          <w:szCs w:val="28"/>
          <w:rtl/>
        </w:rPr>
        <w:t>נתיב התורה, פרק ב</w:t>
      </w:r>
    </w:p>
    <w:p w14:paraId="5FEFB605" w14:textId="77777777" w:rsidR="009D73B8" w:rsidRDefault="009D73B8" w:rsidP="009D73B8">
      <w:pPr>
        <w:bidi/>
        <w:spacing w:after="0" w:line="276" w:lineRule="auto"/>
        <w:jc w:val="both"/>
        <w:rPr>
          <w:rFonts w:cs="Guttman Frnew" w:hint="cs"/>
          <w:sz w:val="28"/>
          <w:szCs w:val="28"/>
          <w:rtl/>
        </w:rPr>
      </w:pPr>
      <w:r w:rsidRPr="00B579E3">
        <w:rPr>
          <w:rFonts w:cs="Guttman Frnew" w:hint="cs"/>
          <w:b/>
          <w:bCs/>
          <w:sz w:val="28"/>
          <w:szCs w:val="28"/>
          <w:rtl/>
        </w:rPr>
        <w:t>נושא הפרק</w:t>
      </w:r>
      <w:r>
        <w:rPr>
          <w:rFonts w:cs="Guttman Frnew" w:hint="cs"/>
          <w:sz w:val="28"/>
          <w:szCs w:val="28"/>
          <w:rtl/>
        </w:rPr>
        <w:t xml:space="preserve">: </w:t>
      </w:r>
      <w:r w:rsidRPr="00B579E3">
        <w:rPr>
          <w:rFonts w:cs="Guttman Frnew"/>
          <w:sz w:val="28"/>
          <w:szCs w:val="28"/>
          <w:rtl/>
        </w:rPr>
        <w:t>התנאים המוסריים של אותנטיות היד</w:t>
      </w:r>
      <w:r>
        <w:rPr>
          <w:rFonts w:cs="Guttman Frnew" w:hint="cs"/>
          <w:sz w:val="28"/>
          <w:szCs w:val="28"/>
          <w:rtl/>
        </w:rPr>
        <w:t>י</w:t>
      </w:r>
      <w:r w:rsidRPr="00B579E3">
        <w:rPr>
          <w:rFonts w:cs="Guttman Frnew"/>
          <w:sz w:val="28"/>
          <w:szCs w:val="28"/>
          <w:rtl/>
        </w:rPr>
        <w:t>ע</w:t>
      </w:r>
      <w:r>
        <w:rPr>
          <w:rFonts w:cs="Guttman Frnew" w:hint="cs"/>
          <w:sz w:val="28"/>
          <w:szCs w:val="28"/>
          <w:rtl/>
        </w:rPr>
        <w:t xml:space="preserve">ה, או, במילים אחרות, </w:t>
      </w:r>
      <w:r w:rsidRPr="00B579E3">
        <w:rPr>
          <w:rFonts w:cs="Guttman Frnew"/>
          <w:sz w:val="28"/>
          <w:szCs w:val="28"/>
          <w:rtl/>
        </w:rPr>
        <w:t>המעלות ההכרחיות ש</w:t>
      </w:r>
      <w:r>
        <w:rPr>
          <w:rFonts w:cs="Guttman Frnew" w:hint="cs"/>
          <w:sz w:val="28"/>
          <w:szCs w:val="28"/>
          <w:rtl/>
        </w:rPr>
        <w:t>על ה</w:t>
      </w:r>
      <w:r w:rsidRPr="00B579E3">
        <w:rPr>
          <w:rFonts w:cs="Guttman Frnew"/>
          <w:sz w:val="28"/>
          <w:szCs w:val="28"/>
          <w:rtl/>
        </w:rPr>
        <w:t xml:space="preserve">אדם לרכוש </w:t>
      </w:r>
      <w:r>
        <w:rPr>
          <w:rFonts w:cs="Guttman Frnew" w:hint="cs"/>
          <w:sz w:val="28"/>
          <w:szCs w:val="28"/>
          <w:rtl/>
        </w:rPr>
        <w:t>כתנאי מוקדם</w:t>
      </w:r>
      <w:r w:rsidRPr="00B579E3">
        <w:rPr>
          <w:rFonts w:cs="Guttman Frnew"/>
          <w:sz w:val="28"/>
          <w:szCs w:val="28"/>
          <w:rtl/>
        </w:rPr>
        <w:t xml:space="preserve"> </w:t>
      </w:r>
      <w:r>
        <w:rPr>
          <w:rFonts w:cs="Guttman Frnew" w:hint="cs"/>
          <w:sz w:val="28"/>
          <w:szCs w:val="28"/>
          <w:rtl/>
        </w:rPr>
        <w:t>ל</w:t>
      </w:r>
      <w:r w:rsidRPr="00B579E3">
        <w:rPr>
          <w:rFonts w:cs="Guttman Frnew"/>
          <w:sz w:val="28"/>
          <w:szCs w:val="28"/>
          <w:rtl/>
        </w:rPr>
        <w:t>חיפוש אחר אמ</w:t>
      </w:r>
      <w:r>
        <w:rPr>
          <w:rFonts w:cs="Guttman Frnew" w:hint="cs"/>
          <w:sz w:val="28"/>
          <w:szCs w:val="28"/>
          <w:rtl/>
        </w:rPr>
        <w:t>י</w:t>
      </w:r>
      <w:r w:rsidRPr="00B579E3">
        <w:rPr>
          <w:rFonts w:cs="Guttman Frnew"/>
          <w:sz w:val="28"/>
          <w:szCs w:val="28"/>
          <w:rtl/>
        </w:rPr>
        <w:t>ת</w:t>
      </w:r>
      <w:r>
        <w:rPr>
          <w:rFonts w:cs="Guttman Frnew" w:hint="cs"/>
          <w:sz w:val="28"/>
          <w:szCs w:val="28"/>
          <w:rtl/>
        </w:rPr>
        <w:t>ת</w:t>
      </w:r>
      <w:r w:rsidRPr="00B579E3">
        <w:rPr>
          <w:rFonts w:cs="Guttman Frnew"/>
          <w:sz w:val="28"/>
          <w:szCs w:val="28"/>
          <w:rtl/>
        </w:rPr>
        <w:t xml:space="preserve"> </w:t>
      </w:r>
      <w:r>
        <w:rPr>
          <w:rFonts w:cs="Guttman Frnew" w:hint="cs"/>
          <w:sz w:val="28"/>
          <w:szCs w:val="28"/>
          <w:rtl/>
        </w:rPr>
        <w:t>ה</w:t>
      </w:r>
      <w:r w:rsidRPr="00B579E3">
        <w:rPr>
          <w:rFonts w:cs="Guttman Frnew"/>
          <w:sz w:val="28"/>
          <w:szCs w:val="28"/>
          <w:rtl/>
        </w:rPr>
        <w:t>ידיעה ביחס לתורה</w:t>
      </w:r>
    </w:p>
    <w:p w14:paraId="0A26D03C" w14:textId="77777777" w:rsidR="009D73B8" w:rsidRDefault="009D73B8" w:rsidP="009D73B8">
      <w:pPr>
        <w:pStyle w:val="ListParagraph"/>
        <w:numPr>
          <w:ilvl w:val="0"/>
          <w:numId w:val="11"/>
        </w:numPr>
        <w:bidi/>
        <w:spacing w:after="0" w:line="276" w:lineRule="auto"/>
        <w:ind w:left="360"/>
        <w:jc w:val="both"/>
        <w:rPr>
          <w:rFonts w:cs="Guttman Frnew"/>
          <w:sz w:val="28"/>
          <w:szCs w:val="28"/>
        </w:rPr>
      </w:pPr>
      <w:r>
        <w:rPr>
          <w:rFonts w:cs="Guttman Frnew" w:hint="cs"/>
          <w:sz w:val="28"/>
          <w:szCs w:val="28"/>
          <w:rtl/>
        </w:rPr>
        <w:t>תורה וענויה</w:t>
      </w:r>
    </w:p>
    <w:p w14:paraId="0E0F4F4A" w14:textId="77777777" w:rsidR="009D73B8" w:rsidRDefault="009D73B8" w:rsidP="009D73B8">
      <w:pPr>
        <w:pStyle w:val="ListParagraph"/>
        <w:numPr>
          <w:ilvl w:val="0"/>
          <w:numId w:val="11"/>
        </w:numPr>
        <w:bidi/>
        <w:spacing w:after="0" w:line="276" w:lineRule="auto"/>
        <w:ind w:left="360"/>
        <w:jc w:val="both"/>
        <w:rPr>
          <w:rFonts w:cs="Guttman Frnew"/>
          <w:sz w:val="28"/>
          <w:szCs w:val="28"/>
        </w:rPr>
      </w:pPr>
      <w:r>
        <w:rPr>
          <w:rFonts w:cs="Guttman Frnew" w:hint="cs"/>
          <w:sz w:val="28"/>
          <w:szCs w:val="28"/>
          <w:rtl/>
        </w:rPr>
        <w:t>גסות רוח, מדה גשמית המפקיעה מהתורה</w:t>
      </w:r>
    </w:p>
    <w:p w14:paraId="7C6173EA" w14:textId="77777777" w:rsidR="009D73B8" w:rsidRDefault="009D73B8" w:rsidP="009D73B8">
      <w:pPr>
        <w:pStyle w:val="ListParagraph"/>
        <w:numPr>
          <w:ilvl w:val="0"/>
          <w:numId w:val="11"/>
        </w:numPr>
        <w:bidi/>
        <w:spacing w:after="0" w:line="276" w:lineRule="auto"/>
        <w:ind w:left="360"/>
        <w:jc w:val="both"/>
        <w:rPr>
          <w:rFonts w:cs="Guttman Frnew"/>
          <w:sz w:val="28"/>
          <w:szCs w:val="28"/>
        </w:rPr>
      </w:pPr>
      <w:r>
        <w:rPr>
          <w:rFonts w:cs="Guttman Frnew" w:hint="cs"/>
          <w:sz w:val="28"/>
          <w:szCs w:val="28"/>
          <w:rtl/>
        </w:rPr>
        <w:t>אין גבול לתורה ולמים, והולכים למקום נמוך</w:t>
      </w:r>
    </w:p>
    <w:p w14:paraId="41A8D464" w14:textId="77777777" w:rsidR="009D73B8" w:rsidRDefault="009D73B8" w:rsidP="009D73B8">
      <w:pPr>
        <w:pStyle w:val="ListParagraph"/>
        <w:numPr>
          <w:ilvl w:val="0"/>
          <w:numId w:val="11"/>
        </w:numPr>
        <w:bidi/>
        <w:spacing w:after="0" w:line="276" w:lineRule="auto"/>
        <w:ind w:left="360"/>
        <w:jc w:val="both"/>
        <w:rPr>
          <w:rFonts w:cs="Guttman Frnew"/>
          <w:sz w:val="28"/>
          <w:szCs w:val="28"/>
        </w:rPr>
      </w:pPr>
      <w:r>
        <w:rPr>
          <w:rFonts w:cs="Guttman Frnew" w:hint="cs"/>
          <w:sz w:val="28"/>
          <w:szCs w:val="28"/>
          <w:rtl/>
        </w:rPr>
        <w:t>ג' משקין ג' מדות של התורה</w:t>
      </w:r>
    </w:p>
    <w:p w14:paraId="04E8C7E3" w14:textId="77777777" w:rsidR="009D73B8" w:rsidRDefault="009D73B8" w:rsidP="009D73B8">
      <w:pPr>
        <w:pStyle w:val="ListParagraph"/>
        <w:numPr>
          <w:ilvl w:val="0"/>
          <w:numId w:val="11"/>
        </w:numPr>
        <w:bidi/>
        <w:spacing w:after="0" w:line="276" w:lineRule="auto"/>
        <w:ind w:left="360"/>
        <w:jc w:val="both"/>
        <w:rPr>
          <w:rFonts w:cs="Guttman Frnew"/>
          <w:sz w:val="28"/>
          <w:szCs w:val="28"/>
        </w:rPr>
      </w:pPr>
      <w:r>
        <w:rPr>
          <w:rFonts w:cs="Guttman Frnew" w:hint="cs"/>
          <w:sz w:val="28"/>
          <w:szCs w:val="28"/>
          <w:rtl/>
        </w:rPr>
        <w:t>ענוה וגאוה בלימוד התורה</w:t>
      </w:r>
    </w:p>
    <w:p w14:paraId="714914D9" w14:textId="77777777" w:rsidR="009D73B8" w:rsidRDefault="009D73B8" w:rsidP="009D73B8">
      <w:pPr>
        <w:pStyle w:val="ListParagraph"/>
        <w:numPr>
          <w:ilvl w:val="0"/>
          <w:numId w:val="11"/>
        </w:numPr>
        <w:bidi/>
        <w:spacing w:after="0" w:line="276" w:lineRule="auto"/>
        <w:ind w:left="360"/>
        <w:jc w:val="both"/>
        <w:rPr>
          <w:rFonts w:cs="Guttman Frnew"/>
          <w:sz w:val="28"/>
          <w:szCs w:val="28"/>
        </w:rPr>
      </w:pPr>
      <w:r>
        <w:rPr>
          <w:rFonts w:cs="Guttman Frnew" w:hint="cs"/>
          <w:sz w:val="28"/>
          <w:szCs w:val="28"/>
          <w:rtl/>
        </w:rPr>
        <w:t>הלומד צריך להפקיר עצמו לכל</w:t>
      </w:r>
    </w:p>
    <w:p w14:paraId="1BB1AA51" w14:textId="77777777" w:rsidR="009D73B8" w:rsidRDefault="009D73B8" w:rsidP="009D73B8">
      <w:pPr>
        <w:pStyle w:val="ListParagraph"/>
        <w:numPr>
          <w:ilvl w:val="0"/>
          <w:numId w:val="11"/>
        </w:numPr>
        <w:bidi/>
        <w:spacing w:after="0" w:line="276" w:lineRule="auto"/>
        <w:ind w:left="360"/>
        <w:jc w:val="both"/>
        <w:rPr>
          <w:rFonts w:cs="Guttman Frnew"/>
          <w:sz w:val="28"/>
          <w:szCs w:val="28"/>
        </w:rPr>
      </w:pPr>
      <w:r>
        <w:rPr>
          <w:rFonts w:cs="Guttman Frnew" w:hint="cs"/>
          <w:sz w:val="28"/>
          <w:szCs w:val="28"/>
          <w:rtl/>
        </w:rPr>
        <w:t>ה' מגביה הלומד, ומשפילו כשמתגאה</w:t>
      </w:r>
    </w:p>
    <w:p w14:paraId="09DFA50B" w14:textId="77777777" w:rsidR="009D73B8" w:rsidRPr="00ED4578" w:rsidRDefault="009D73B8" w:rsidP="009D73B8">
      <w:pPr>
        <w:pStyle w:val="ListParagraph"/>
        <w:numPr>
          <w:ilvl w:val="0"/>
          <w:numId w:val="11"/>
        </w:numPr>
        <w:bidi/>
        <w:spacing w:after="0" w:line="276" w:lineRule="auto"/>
        <w:ind w:left="360"/>
        <w:jc w:val="both"/>
        <w:rPr>
          <w:rFonts w:cs="Guttman Frnew" w:hint="cs"/>
          <w:sz w:val="28"/>
          <w:szCs w:val="28"/>
          <w:rtl/>
        </w:rPr>
      </w:pPr>
      <w:r>
        <w:rPr>
          <w:rFonts w:cs="Guttman Frnew" w:hint="cs"/>
          <w:sz w:val="28"/>
          <w:szCs w:val="28"/>
          <w:rtl/>
        </w:rPr>
        <w:t>למה סוחרים וגסי רוח מופקעים מתורה</w:t>
      </w:r>
    </w:p>
    <w:p w14:paraId="2203EEB4" w14:textId="77777777" w:rsidR="00A71EBC" w:rsidRPr="009D73B8" w:rsidRDefault="00A71EBC" w:rsidP="009D73B8">
      <w:pPr>
        <w:bidi/>
        <w:rPr>
          <w:rFonts w:hint="cs"/>
          <w:rtl/>
          <w:lang w:val="fr-FR"/>
        </w:rPr>
      </w:pPr>
    </w:p>
    <w:sectPr w:rsidR="00A71EBC" w:rsidRPr="009D73B8" w:rsidSect="00686D8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46F2C" w14:textId="77777777" w:rsidR="00AA4414" w:rsidRDefault="00AA4414" w:rsidP="00B61BFC">
      <w:pPr>
        <w:spacing w:after="0" w:line="240" w:lineRule="auto"/>
      </w:pPr>
      <w:r>
        <w:separator/>
      </w:r>
    </w:p>
  </w:endnote>
  <w:endnote w:type="continuationSeparator" w:id="0">
    <w:p w14:paraId="40A20F0F" w14:textId="77777777" w:rsidR="00AA4414" w:rsidRDefault="00AA4414" w:rsidP="00B6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Frnew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Miryam">
    <w:panose1 w:val="020103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B2955" w14:textId="77777777" w:rsidR="00AA4414" w:rsidRDefault="00AA4414" w:rsidP="00B61BFC">
      <w:pPr>
        <w:spacing w:after="0" w:line="240" w:lineRule="auto"/>
      </w:pPr>
      <w:r>
        <w:separator/>
      </w:r>
    </w:p>
  </w:footnote>
  <w:footnote w:type="continuationSeparator" w:id="0">
    <w:p w14:paraId="0A17CF2E" w14:textId="77777777" w:rsidR="00AA4414" w:rsidRDefault="00AA4414" w:rsidP="00B6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749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D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A0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400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8A5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EE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E8F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66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E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B5F54"/>
    <w:multiLevelType w:val="hybridMultilevel"/>
    <w:tmpl w:val="3468FBEC"/>
    <w:lvl w:ilvl="0" w:tplc="89A034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03984">
    <w:abstractNumId w:val="9"/>
  </w:num>
  <w:num w:numId="2" w16cid:durableId="1037895158">
    <w:abstractNumId w:val="7"/>
  </w:num>
  <w:num w:numId="3" w16cid:durableId="819810711">
    <w:abstractNumId w:val="6"/>
  </w:num>
  <w:num w:numId="4" w16cid:durableId="1326979488">
    <w:abstractNumId w:val="5"/>
  </w:num>
  <w:num w:numId="5" w16cid:durableId="935749940">
    <w:abstractNumId w:val="4"/>
  </w:num>
  <w:num w:numId="6" w16cid:durableId="1664235784">
    <w:abstractNumId w:val="8"/>
  </w:num>
  <w:num w:numId="7" w16cid:durableId="2053846136">
    <w:abstractNumId w:val="3"/>
  </w:num>
  <w:num w:numId="8" w16cid:durableId="1508137535">
    <w:abstractNumId w:val="2"/>
  </w:num>
  <w:num w:numId="9" w16cid:durableId="1567302682">
    <w:abstractNumId w:val="1"/>
  </w:num>
  <w:num w:numId="10" w16cid:durableId="1431046332">
    <w:abstractNumId w:val="0"/>
  </w:num>
  <w:num w:numId="11" w16cid:durableId="667683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B8"/>
    <w:rsid w:val="00003253"/>
    <w:rsid w:val="00013EB1"/>
    <w:rsid w:val="000700AC"/>
    <w:rsid w:val="00076194"/>
    <w:rsid w:val="001E494C"/>
    <w:rsid w:val="001F74A8"/>
    <w:rsid w:val="002068AD"/>
    <w:rsid w:val="002236B1"/>
    <w:rsid w:val="002669BC"/>
    <w:rsid w:val="0027233D"/>
    <w:rsid w:val="00272BB0"/>
    <w:rsid w:val="002B60FB"/>
    <w:rsid w:val="002D01C1"/>
    <w:rsid w:val="002D10E8"/>
    <w:rsid w:val="002F0180"/>
    <w:rsid w:val="00365D0D"/>
    <w:rsid w:val="003E7240"/>
    <w:rsid w:val="003F6592"/>
    <w:rsid w:val="004031DC"/>
    <w:rsid w:val="004242BA"/>
    <w:rsid w:val="00464BF1"/>
    <w:rsid w:val="00466748"/>
    <w:rsid w:val="00544DCE"/>
    <w:rsid w:val="005B24E3"/>
    <w:rsid w:val="005B57CF"/>
    <w:rsid w:val="005D3831"/>
    <w:rsid w:val="005E77A0"/>
    <w:rsid w:val="005F0593"/>
    <w:rsid w:val="00641766"/>
    <w:rsid w:val="006543FF"/>
    <w:rsid w:val="00686D80"/>
    <w:rsid w:val="006D765D"/>
    <w:rsid w:val="0071689A"/>
    <w:rsid w:val="00766824"/>
    <w:rsid w:val="00794390"/>
    <w:rsid w:val="00815B06"/>
    <w:rsid w:val="00834A30"/>
    <w:rsid w:val="008710D9"/>
    <w:rsid w:val="00874C8C"/>
    <w:rsid w:val="00875731"/>
    <w:rsid w:val="00881417"/>
    <w:rsid w:val="008B565D"/>
    <w:rsid w:val="008C54F7"/>
    <w:rsid w:val="009074BB"/>
    <w:rsid w:val="00942305"/>
    <w:rsid w:val="009D73B8"/>
    <w:rsid w:val="009F60E1"/>
    <w:rsid w:val="00A16F9C"/>
    <w:rsid w:val="00A24720"/>
    <w:rsid w:val="00A71EBC"/>
    <w:rsid w:val="00A8271C"/>
    <w:rsid w:val="00A904B3"/>
    <w:rsid w:val="00AA4414"/>
    <w:rsid w:val="00AB7810"/>
    <w:rsid w:val="00AC0C03"/>
    <w:rsid w:val="00AD2BD1"/>
    <w:rsid w:val="00B12A21"/>
    <w:rsid w:val="00B46140"/>
    <w:rsid w:val="00B61BFC"/>
    <w:rsid w:val="00B83E73"/>
    <w:rsid w:val="00B92DE9"/>
    <w:rsid w:val="00C70B3A"/>
    <w:rsid w:val="00CB7185"/>
    <w:rsid w:val="00D5552F"/>
    <w:rsid w:val="00D6525F"/>
    <w:rsid w:val="00D65567"/>
    <w:rsid w:val="00E2708A"/>
    <w:rsid w:val="00E80A98"/>
    <w:rsid w:val="00F5240C"/>
    <w:rsid w:val="00F80A24"/>
    <w:rsid w:val="00FB2B3F"/>
    <w:rsid w:val="00FF0D4D"/>
    <w:rsid w:val="00FF1348"/>
    <w:rsid w:val="00FF2F0B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29E1"/>
  <w15:chartTrackingRefBased/>
  <w15:docId w15:val="{4AD32473-1DE4-4AE9-BB4E-D2C4676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roham">
    <w:name w:val="Yeroham"/>
    <w:basedOn w:val="Normal"/>
    <w:rsid w:val="00FF0D4D"/>
    <w:pPr>
      <w:bidi/>
      <w:ind w:left="567"/>
    </w:pPr>
    <w:rPr>
      <w:rFonts w:cs="Guttman Frnew"/>
      <w:b/>
      <w:sz w:val="24"/>
      <w:szCs w:val="24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4A22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2CC"/>
    <w:rPr>
      <w:rFonts w:ascii="Consolas" w:hAnsi="Consolas"/>
      <w:sz w:val="21"/>
      <w:szCs w:val="21"/>
    </w:rPr>
  </w:style>
  <w:style w:type="character" w:customStyle="1" w:styleId="Hbreu">
    <w:name w:val="Hébreu"/>
    <w:basedOn w:val="DefaultParagraphFont"/>
    <w:uiPriority w:val="1"/>
    <w:qFormat/>
    <w:rsid w:val="00FF46FE"/>
    <w:rPr>
      <w:rFonts w:ascii="Georgia" w:hAnsi="Georgia" w:cs="Courier New"/>
      <w:i/>
      <w:noProof/>
      <w:sz w:val="28"/>
      <w:szCs w:val="28"/>
      <w:lang w:val="fr-FR"/>
    </w:rPr>
  </w:style>
  <w:style w:type="paragraph" w:customStyle="1" w:styleId="Manitou">
    <w:name w:val="Manitou"/>
    <w:basedOn w:val="PlainText"/>
    <w:qFormat/>
    <w:rsid w:val="005D3831"/>
    <w:pPr>
      <w:spacing w:after="120" w:line="276" w:lineRule="auto"/>
      <w:ind w:firstLine="567"/>
      <w:jc w:val="both"/>
    </w:pPr>
    <w:rPr>
      <w:rFonts w:ascii="Georgia" w:hAnsi="Georgia" w:cs="Guttman Frnew"/>
      <w:sz w:val="28"/>
      <w:szCs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2BA"/>
    <w:pPr>
      <w:spacing w:after="0" w:line="240" w:lineRule="auto"/>
      <w:ind w:left="284" w:hanging="284"/>
    </w:pPr>
    <w:rPr>
      <w:rFonts w:cs="Guttman Fr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2BA"/>
    <w:rPr>
      <w:rFonts w:cs="Guttman Fr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BFC"/>
    <w:rPr>
      <w:vertAlign w:val="superscript"/>
    </w:rPr>
  </w:style>
  <w:style w:type="paragraph" w:customStyle="1" w:styleId="Question">
    <w:name w:val="Question"/>
    <w:basedOn w:val="Manitou"/>
    <w:qFormat/>
    <w:rsid w:val="005B57CF"/>
    <w:pPr>
      <w:spacing w:before="120"/>
    </w:pPr>
  </w:style>
  <w:style w:type="paragraph" w:customStyle="1" w:styleId="Citation">
    <w:name w:val="Citation"/>
    <w:basedOn w:val="Manitou"/>
    <w:qFormat/>
    <w:rsid w:val="00E80A98"/>
    <w:pPr>
      <w:tabs>
        <w:tab w:val="right" w:pos="3969"/>
        <w:tab w:val="left" w:pos="4536"/>
      </w:tabs>
      <w:ind w:left="4536" w:hanging="4536"/>
    </w:pPr>
  </w:style>
  <w:style w:type="character" w:customStyle="1" w:styleId="a">
    <w:name w:val="מראה מקור"/>
    <w:uiPriority w:val="1"/>
    <w:qFormat/>
    <w:rsid w:val="00D5552F"/>
    <w:rPr>
      <w:rFonts w:cs="Guttman Frnew"/>
      <w:sz w:val="20"/>
      <w:szCs w:val="20"/>
    </w:rPr>
  </w:style>
  <w:style w:type="character" w:customStyle="1" w:styleId="a0">
    <w:name w:val="עיברית"/>
    <w:basedOn w:val="DefaultParagraphFont"/>
    <w:uiPriority w:val="1"/>
    <w:qFormat/>
    <w:rsid w:val="005D3831"/>
    <w:rPr>
      <w:rFonts w:cs="Guttman Frnew"/>
      <w:sz w:val="24"/>
      <w:szCs w:val="24"/>
      <w:lang w:eastAsia="en-IL"/>
    </w:rPr>
  </w:style>
  <w:style w:type="paragraph" w:customStyle="1" w:styleId="Source">
    <w:name w:val="Source"/>
    <w:basedOn w:val="Manitou"/>
    <w:qFormat/>
    <w:rsid w:val="005D3831"/>
    <w:pPr>
      <w:ind w:left="567" w:right="567" w:firstLine="0"/>
    </w:pPr>
    <w:rPr>
      <w:i/>
      <w:iCs/>
      <w:bdr w:val="none" w:sz="0" w:space="0" w:color="auto" w:frame="1"/>
      <w:lang w:eastAsia="en-IL"/>
    </w:rPr>
  </w:style>
  <w:style w:type="paragraph" w:customStyle="1" w:styleId="a1">
    <w:name w:val="כותרת"/>
    <w:basedOn w:val="Normal"/>
    <w:link w:val="Char"/>
    <w:qFormat/>
    <w:rsid w:val="00834A30"/>
    <w:pPr>
      <w:widowControl w:val="0"/>
      <w:bidi/>
      <w:spacing w:after="240" w:line="276" w:lineRule="auto"/>
      <w:jc w:val="center"/>
    </w:pPr>
    <w:rPr>
      <w:rFonts w:cs="Guttman Frnew"/>
      <w:b/>
      <w:bCs/>
      <w:sz w:val="28"/>
      <w:szCs w:val="28"/>
      <w:lang w:val="fr-FR"/>
    </w:rPr>
  </w:style>
  <w:style w:type="character" w:customStyle="1" w:styleId="Char">
    <w:name w:val="כותרת Char"/>
    <w:basedOn w:val="DefaultParagraphFont"/>
    <w:link w:val="a1"/>
    <w:rsid w:val="00834A30"/>
    <w:rPr>
      <w:rFonts w:cs="Guttman Frnew"/>
      <w:b/>
      <w:bCs/>
      <w:sz w:val="28"/>
      <w:szCs w:val="28"/>
      <w:lang w:val="fr-FR"/>
    </w:rPr>
  </w:style>
  <w:style w:type="paragraph" w:customStyle="1" w:styleId="a2">
    <w:name w:val="מראה מקום"/>
    <w:basedOn w:val="Normal"/>
    <w:link w:val="Char0"/>
    <w:qFormat/>
    <w:rsid w:val="003E7240"/>
    <w:pPr>
      <w:bidi/>
      <w:spacing w:line="480" w:lineRule="auto"/>
      <w:jc w:val="both"/>
    </w:pPr>
    <w:rPr>
      <w:rFonts w:cs="Guttman Frnew"/>
      <w:sz w:val="20"/>
      <w:szCs w:val="20"/>
      <w:lang w:val="fr-FR"/>
    </w:rPr>
  </w:style>
  <w:style w:type="character" w:customStyle="1" w:styleId="Char0">
    <w:name w:val="מראה מקום Char"/>
    <w:basedOn w:val="DefaultParagraphFont"/>
    <w:link w:val="a2"/>
    <w:rsid w:val="003E7240"/>
    <w:rPr>
      <w:rFonts w:cs="Guttman Frnew"/>
      <w:sz w:val="20"/>
      <w:szCs w:val="20"/>
      <w:lang w:val="fr-FR"/>
    </w:rPr>
  </w:style>
  <w:style w:type="paragraph" w:customStyle="1" w:styleId="a3">
    <w:name w:val="כתב יד"/>
    <w:basedOn w:val="Normal"/>
    <w:link w:val="Char1"/>
    <w:qFormat/>
    <w:rsid w:val="00881417"/>
    <w:pPr>
      <w:bidi/>
      <w:spacing w:line="480" w:lineRule="auto"/>
      <w:jc w:val="both"/>
    </w:pPr>
    <w:rPr>
      <w:rFonts w:cs="Guttman Yad-Brush"/>
      <w:sz w:val="24"/>
      <w:szCs w:val="24"/>
      <w:lang w:val="fr-FR"/>
    </w:rPr>
  </w:style>
  <w:style w:type="character" w:customStyle="1" w:styleId="Char1">
    <w:name w:val="כתב יד Char"/>
    <w:basedOn w:val="DefaultParagraphFont"/>
    <w:link w:val="a3"/>
    <w:rsid w:val="00881417"/>
    <w:rPr>
      <w:rFonts w:cs="Guttman Yad-Brush"/>
      <w:sz w:val="24"/>
      <w:szCs w:val="24"/>
      <w:lang w:val="fr-FR"/>
    </w:rPr>
  </w:style>
  <w:style w:type="character" w:customStyle="1" w:styleId="ReNotes">
    <w:name w:val="ReNotes"/>
    <w:basedOn w:val="DefaultParagraphFont"/>
    <w:uiPriority w:val="1"/>
    <w:qFormat/>
    <w:rsid w:val="009F60E1"/>
    <w:rPr>
      <w:rFonts w:cs="Guttman Miryam"/>
      <w:sz w:val="16"/>
      <w:szCs w:val="16"/>
    </w:rPr>
  </w:style>
  <w:style w:type="paragraph" w:customStyle="1" w:styleId="a4">
    <w:name w:val="שערי אורה"/>
    <w:basedOn w:val="Normal"/>
    <w:qFormat/>
    <w:rsid w:val="00AD2BD1"/>
    <w:pPr>
      <w:bidi/>
      <w:spacing w:line="276" w:lineRule="auto"/>
      <w:jc w:val="both"/>
    </w:pPr>
    <w:rPr>
      <w:rFonts w:cs="Guttman Frnew"/>
      <w:sz w:val="28"/>
      <w:szCs w:val="28"/>
    </w:rPr>
  </w:style>
  <w:style w:type="character" w:customStyle="1" w:styleId="Rrrences">
    <w:name w:val="Rérérences"/>
    <w:basedOn w:val="DefaultParagraphFont"/>
    <w:uiPriority w:val="1"/>
    <w:qFormat/>
    <w:rsid w:val="005E77A0"/>
    <w:rPr>
      <w:rFonts w:cs="Guttman Frnew"/>
      <w:sz w:val="20"/>
      <w:szCs w:val="20"/>
      <w:lang w:val="fr-FR"/>
    </w:rPr>
  </w:style>
  <w:style w:type="paragraph" w:customStyle="1" w:styleId="-">
    <w:name w:val="תת-כותרת"/>
    <w:basedOn w:val="a1"/>
    <w:qFormat/>
    <w:rsid w:val="002F0180"/>
    <w:pPr>
      <w:keepNext/>
      <w:widowControl/>
      <w:spacing w:before="240" w:after="120" w:line="240" w:lineRule="auto"/>
      <w:jc w:val="both"/>
      <w:outlineLvl w:val="2"/>
    </w:pPr>
    <w:rPr>
      <w:rFonts w:asciiTheme="majorBidi" w:eastAsia="Times New Roman" w:hAnsiTheme="majorBidi" w:cstheme="majorBidi"/>
      <w:noProof/>
      <w:snapToGrid w:val="0"/>
      <w:shd w:val="clear" w:color="auto" w:fill="FFFFFF"/>
      <w:lang w:val="en-US"/>
    </w:rPr>
  </w:style>
  <w:style w:type="paragraph" w:styleId="ListParagraph">
    <w:name w:val="List Paragraph"/>
    <w:basedOn w:val="Normal"/>
    <w:uiPriority w:val="34"/>
    <w:qFormat/>
    <w:rsid w:val="009D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Manit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Manitou.dotx</Template>
  <TotalTime>2</TotalTime>
  <Pages>1</Pages>
  <Words>108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Elyakim Simsovic</cp:lastModifiedBy>
  <cp:revision>1</cp:revision>
  <dcterms:created xsi:type="dcterms:W3CDTF">2025-01-24T04:15:00Z</dcterms:created>
  <dcterms:modified xsi:type="dcterms:W3CDTF">2025-01-24T04:17:00Z</dcterms:modified>
</cp:coreProperties>
</file>